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18F" w14:textId="014C3F57" w:rsidR="008C259F" w:rsidRPr="008C259F" w:rsidRDefault="008C259F" w:rsidP="008C259F">
      <w:pPr>
        <w:rPr>
          <w:rFonts w:eastAsia="Times New Roman" w:cs="Times New Roman"/>
          <w:color w:val="000000"/>
          <w:lang w:val="en-GB" w:eastAsia="sv-SE"/>
        </w:rPr>
      </w:pPr>
      <w:r w:rsidRPr="008C259F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MHIA14 Media History: </w:t>
      </w:r>
      <w:r w:rsidRPr="008C259F">
        <w:rPr>
          <w:rFonts w:eastAsia="Times New Roman" w:cs="Times New Roman"/>
          <w:b/>
          <w:bCs/>
          <w:iCs/>
          <w:color w:val="000000"/>
          <w:lang w:val="en-GB" w:eastAsia="sv-SE"/>
        </w:rPr>
        <w:t>Newspapers among other media, 1600–1850, 7,5</w:t>
      </w:r>
      <w:r w:rsidRPr="008C259F">
        <w:rPr>
          <w:rFonts w:eastAsia="Times New Roman" w:cs="Times New Roman"/>
          <w:b/>
          <w:bCs/>
          <w:color w:val="000000"/>
          <w:lang w:val="en-GB" w:eastAsia="sv-SE"/>
        </w:rPr>
        <w:t xml:space="preserve"> ECTS, autumn 202</w:t>
      </w:r>
      <w:r w:rsidR="00D14107">
        <w:rPr>
          <w:rFonts w:eastAsia="Times New Roman" w:cs="Times New Roman"/>
          <w:b/>
          <w:bCs/>
          <w:color w:val="000000"/>
          <w:lang w:val="en-GB" w:eastAsia="sv-SE"/>
        </w:rPr>
        <w:t>1</w:t>
      </w:r>
    </w:p>
    <w:p w14:paraId="10B3EE7F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61D145EB" w14:textId="7777777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10.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347422A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66628283" w14:textId="77777777" w:rsidR="00483C16" w:rsidRDefault="00483C16" w:rsidP="008F4605">
      <w:pPr>
        <w:rPr>
          <w:rFonts w:eastAsia="Times New Roman" w:cs="Times New Roman"/>
          <w:b/>
          <w:bCs/>
          <w:i/>
          <w:iCs/>
          <w:color w:val="000000"/>
          <w:lang w:val="en-GB" w:eastAsia="sv-SE"/>
        </w:rPr>
      </w:pPr>
    </w:p>
    <w:p w14:paraId="6C35C29D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Bellingradt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>, Daniel</w:t>
      </w:r>
      <w:proofErr w:type="gramStart"/>
      <w:r w:rsidRPr="00BB52B0">
        <w:rPr>
          <w:rFonts w:eastAsia="Times New Roman" w:cs="Times New Roman"/>
          <w:color w:val="000000" w:themeColor="text1"/>
          <w:lang w:val="en-GB" w:eastAsia="sv-SE"/>
        </w:rPr>
        <w:t>, ”The</w:t>
      </w:r>
      <w:proofErr w:type="gram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publishing of a murder case in early modern Germany: The limits</w:t>
      </w:r>
    </w:p>
    <w:p w14:paraId="6577F7DF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of censorship in the Electorate of Saxony (1726)”, </w:t>
      </w:r>
      <w:proofErr w:type="spell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Quaerendo</w:t>
      </w:r>
      <w:proofErr w:type="spell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. A Journal Devoted to</w:t>
      </w:r>
    </w:p>
    <w:p w14:paraId="466D0326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Manuscripts and Printed Books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(2015), 45:1–2, p. 62–107 (45 p)</w:t>
      </w:r>
    </w:p>
    <w:p w14:paraId="5F1E9A2D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340D943A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13–120 (107 p)</w:t>
      </w:r>
    </w:p>
    <w:p w14:paraId="07FC53C9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Urqhart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7626E9E8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9–12 (p. 77–107) (30 p)</w:t>
      </w:r>
    </w:p>
    <w:p w14:paraId="4DE869B5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Darnton, Robert</w:t>
      </w:r>
      <w:proofErr w:type="gramStart"/>
      <w:r w:rsidRPr="00BB52B0">
        <w:rPr>
          <w:rFonts w:eastAsia="Times New Roman" w:cs="Times New Roman"/>
          <w:color w:val="000000"/>
          <w:lang w:val="en-GB" w:eastAsia="sv-SE"/>
        </w:rPr>
        <w:t>, ”An</w:t>
      </w:r>
      <w:proofErr w:type="gramEnd"/>
      <w:r w:rsidRPr="00BB52B0">
        <w:rPr>
          <w:rFonts w:eastAsia="Times New Roman" w:cs="Times New Roman"/>
          <w:color w:val="000000"/>
          <w:lang w:val="en-GB" w:eastAsia="sv-SE"/>
        </w:rPr>
        <w:t xml:space="preserve"> Early Information Society: News and the Media in Eighteenth-Century </w:t>
      </w:r>
    </w:p>
    <w:p w14:paraId="682C2B7A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 xml:space="preserve">Paris”,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American Historical Review</w:t>
      </w:r>
      <w:r w:rsidRPr="00BB52B0">
        <w:rPr>
          <w:rFonts w:eastAsia="Times New Roman" w:cs="Times New Roman"/>
          <w:color w:val="000000"/>
          <w:lang w:val="en-GB" w:eastAsia="sv-SE"/>
        </w:rPr>
        <w:t>, 105:1 (2000), p. 1–35 (34 p)</w:t>
      </w:r>
    </w:p>
    <w:p w14:paraId="018CE8A7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15C5EF6A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46–54, 110–112 (12 p)</w:t>
      </w:r>
    </w:p>
    <w:p w14:paraId="657E7772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McIlvenna, Una</w:t>
      </w:r>
      <w:proofErr w:type="gramStart"/>
      <w:r w:rsidRPr="00BB52B0">
        <w:rPr>
          <w:rFonts w:eastAsia="Times New Roman" w:cs="Times New Roman"/>
          <w:color w:val="000000"/>
          <w:lang w:val="en-GB" w:eastAsia="sv-SE"/>
        </w:rPr>
        <w:t>, ”When</w:t>
      </w:r>
      <w:proofErr w:type="gramEnd"/>
      <w:r w:rsidRPr="00BB52B0">
        <w:rPr>
          <w:rFonts w:eastAsia="Times New Roman" w:cs="Times New Roman"/>
          <w:color w:val="000000"/>
          <w:lang w:val="en-GB" w:eastAsia="sv-SE"/>
        </w:rPr>
        <w:t xml:space="preserve"> the news was sung: Ballads as News Media in Early Modern </w:t>
      </w:r>
    </w:p>
    <w:p w14:paraId="3FB92FC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 xml:space="preserve">Europe”,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Media History</w:t>
      </w:r>
      <w:r w:rsidRPr="00BB52B0">
        <w:rPr>
          <w:rFonts w:eastAsia="Times New Roman" w:cs="Times New Roman"/>
          <w:color w:val="000000"/>
          <w:lang w:val="en-GB" w:eastAsia="sv-SE"/>
        </w:rPr>
        <w:t>, 22: 3–4 (2016), p. 317–333 (16 p.)</w:t>
      </w:r>
    </w:p>
    <w:p w14:paraId="3E6A17D1" w14:textId="77777777" w:rsidR="008F4605" w:rsidRPr="00483C16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Pettegree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Andrew: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Invention of News: How the World Came to Know About Itself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(New </w:t>
      </w:r>
    </w:p>
    <w:p w14:paraId="07208DD0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Haven: Yale University Press, 2014) (445 p)</w:t>
      </w:r>
    </w:p>
    <w:p w14:paraId="06ED12B9" w14:textId="77777777" w:rsidR="008F4605" w:rsidRPr="00483C16" w:rsidRDefault="008F4605" w:rsidP="008F4605">
      <w:pPr>
        <w:jc w:val="both"/>
        <w:outlineLvl w:val="0"/>
        <w:rPr>
          <w:rFonts w:eastAsia="Times New Roman" w:cs="Times New Roman"/>
          <w:i/>
          <w:iCs/>
          <w:color w:val="000000"/>
          <w:kern w:val="36"/>
          <w:lang w:val="en-GB" w:eastAsia="sv-SE"/>
        </w:rPr>
      </w:pPr>
      <w:r w:rsidRPr="00BB52B0">
        <w:rPr>
          <w:rFonts w:eastAsia="Times New Roman" w:cs="Times New Roman"/>
          <w:color w:val="000000"/>
          <w:kern w:val="36"/>
          <w:lang w:val="en-GB" w:eastAsia="sv-SE"/>
        </w:rPr>
        <w:t>Weber, Johannes</w:t>
      </w:r>
      <w:proofErr w:type="gramStart"/>
      <w:r w:rsidRPr="00BB52B0">
        <w:rPr>
          <w:rFonts w:eastAsia="Times New Roman" w:cs="Times New Roman"/>
          <w:color w:val="000000"/>
          <w:kern w:val="36"/>
          <w:lang w:val="en-GB" w:eastAsia="sv-SE"/>
        </w:rPr>
        <w:t>, ”</w:t>
      </w:r>
      <w:proofErr w:type="spellStart"/>
      <w:r w:rsidRPr="00BB52B0">
        <w:rPr>
          <w:rFonts w:eastAsia="Times New Roman" w:cs="Times New Roman"/>
          <w:color w:val="000000"/>
          <w:kern w:val="36"/>
          <w:lang w:val="en-GB" w:eastAsia="sv-SE"/>
        </w:rPr>
        <w:t>Strassburg</w:t>
      </w:r>
      <w:proofErr w:type="spellEnd"/>
      <w:proofErr w:type="gramEnd"/>
      <w:r w:rsidRPr="00BB52B0">
        <w:rPr>
          <w:rFonts w:eastAsia="Times New Roman" w:cs="Times New Roman"/>
          <w:color w:val="000000"/>
          <w:kern w:val="36"/>
          <w:lang w:val="en-GB" w:eastAsia="sv-SE"/>
        </w:rPr>
        <w:t xml:space="preserve">, 1605: The Origins of the Newspaper in Europe”, </w:t>
      </w:r>
      <w:r w:rsidRPr="00BB52B0">
        <w:rPr>
          <w:rFonts w:eastAsia="Times New Roman" w:cs="Times New Roman"/>
          <w:i/>
          <w:iCs/>
          <w:color w:val="000000"/>
          <w:kern w:val="36"/>
          <w:lang w:val="en-GB" w:eastAsia="sv-SE"/>
        </w:rPr>
        <w:t xml:space="preserve">German </w:t>
      </w:r>
    </w:p>
    <w:p w14:paraId="4FF3F27C" w14:textId="77777777" w:rsidR="008F4605" w:rsidRPr="00BB52B0" w:rsidRDefault="008F4605" w:rsidP="008F4605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kern w:val="36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kern w:val="36"/>
          <w:lang w:val="en-GB" w:eastAsia="sv-SE"/>
        </w:rPr>
        <w:t>History</w:t>
      </w:r>
      <w:r w:rsidRPr="00BB52B0">
        <w:rPr>
          <w:rFonts w:eastAsia="Times New Roman" w:cs="Times New Roman"/>
          <w:color w:val="000000"/>
          <w:kern w:val="36"/>
          <w:lang w:val="en-GB" w:eastAsia="sv-SE"/>
        </w:rPr>
        <w:t>, 24:3 (2006), p. 387–412. (25 p)</w:t>
      </w:r>
    </w:p>
    <w:p w14:paraId="5CAA707D" w14:textId="77777777" w:rsidR="008F4605" w:rsidRPr="00483C16" w:rsidRDefault="008F4605" w:rsidP="008F4605">
      <w:pPr>
        <w:jc w:val="both"/>
        <w:outlineLvl w:val="3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Werner, Sarah,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Studying Early Printed Books, 1450–1800: a practical guide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(Hoboken, NJ: </w:t>
      </w:r>
    </w:p>
    <w:p w14:paraId="11AA4567" w14:textId="77777777" w:rsidR="008F4605" w:rsidRPr="00BB52B0" w:rsidRDefault="008F4605" w:rsidP="008F4605">
      <w:pPr>
        <w:jc w:val="both"/>
        <w:outlineLvl w:val="3"/>
        <w:rPr>
          <w:rFonts w:eastAsia="Times New Roman" w:cs="Times New Roman"/>
          <w:b/>
          <w:bCs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Wiley, 2019) (179 p)</w:t>
      </w:r>
    </w:p>
    <w:p w14:paraId="4C3539AA" w14:textId="77777777" w:rsidR="008F4605" w:rsidRPr="00BB52B0" w:rsidRDefault="008F4605" w:rsidP="003B4F7D">
      <w:pPr>
        <w:rPr>
          <w:rFonts w:eastAsia="Times New Roman" w:cs="Times New Roman"/>
          <w:color w:val="000000"/>
          <w:lang w:val="en-GB" w:eastAsia="sv-SE"/>
        </w:rPr>
      </w:pPr>
    </w:p>
    <w:p w14:paraId="30F1FFE8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In sum: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893 p.</w:t>
      </w:r>
    </w:p>
    <w:p w14:paraId="4EF33641" w14:textId="77777777" w:rsidR="00C02F4F" w:rsidRDefault="00C02F4F" w:rsidP="008F4605">
      <w:pPr>
        <w:rPr>
          <w:rFonts w:eastAsia="Times New Roman" w:cs="Times New Roman"/>
          <w:b/>
          <w:bCs/>
          <w:i/>
          <w:iCs/>
          <w:color w:val="000000" w:themeColor="text1"/>
          <w:lang w:val="en-GB" w:eastAsia="sv-SE"/>
        </w:rPr>
      </w:pPr>
    </w:p>
    <w:p w14:paraId="637546AF" w14:textId="77777777" w:rsidR="003B4F7D" w:rsidRDefault="003B4F7D">
      <w:pPr>
        <w:tabs>
          <w:tab w:val="clear" w:pos="284"/>
        </w:tabs>
        <w:rPr>
          <w:rFonts w:eastAsia="Times New Roman" w:cs="Times New Roman"/>
          <w:b/>
          <w:bCs/>
          <w:i/>
          <w:iCs/>
          <w:color w:val="000000" w:themeColor="text1"/>
          <w:lang w:val="en-GB" w:eastAsia="sv-SE"/>
        </w:rPr>
      </w:pPr>
    </w:p>
    <w:sectPr w:rsidR="003B4F7D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BE6D" w14:textId="77777777" w:rsidR="0069504C" w:rsidRDefault="0069504C">
      <w:r>
        <w:separator/>
      </w:r>
    </w:p>
  </w:endnote>
  <w:endnote w:type="continuationSeparator" w:id="0">
    <w:p w14:paraId="56FA8FC7" w14:textId="77777777" w:rsidR="0069504C" w:rsidRDefault="006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48C03BC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A782AB3" w14:textId="77777777" w:rsidR="00BB52B0" w:rsidRDefault="006950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8C2290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C259F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E16DA23" w14:textId="77777777" w:rsidR="00BB52B0" w:rsidRDefault="006950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F008" w14:textId="77777777" w:rsidR="0069504C" w:rsidRDefault="0069504C">
      <w:r>
        <w:separator/>
      </w:r>
    </w:p>
  </w:footnote>
  <w:footnote w:type="continuationSeparator" w:id="0">
    <w:p w14:paraId="7AA255F1" w14:textId="77777777" w:rsidR="0069504C" w:rsidRDefault="0069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1834C2"/>
    <w:rsid w:val="00342D3B"/>
    <w:rsid w:val="0034379C"/>
    <w:rsid w:val="003454F6"/>
    <w:rsid w:val="00390370"/>
    <w:rsid w:val="003B4F7D"/>
    <w:rsid w:val="00483C16"/>
    <w:rsid w:val="005D75CA"/>
    <w:rsid w:val="00651D61"/>
    <w:rsid w:val="0069504C"/>
    <w:rsid w:val="006A3754"/>
    <w:rsid w:val="006A756D"/>
    <w:rsid w:val="008C259F"/>
    <w:rsid w:val="008F4605"/>
    <w:rsid w:val="00A03F1E"/>
    <w:rsid w:val="00A613DA"/>
    <w:rsid w:val="00A87485"/>
    <w:rsid w:val="00C02F4F"/>
    <w:rsid w:val="00D02B21"/>
    <w:rsid w:val="00D14107"/>
    <w:rsid w:val="00DB77E6"/>
    <w:rsid w:val="00DE3DD3"/>
    <w:rsid w:val="00F60EDD"/>
    <w:rsid w:val="00FA7725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FF7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2021-06-01T08:30:00Z</dcterms:created>
  <dcterms:modified xsi:type="dcterms:W3CDTF">2021-06-01T08:30:00Z</dcterms:modified>
</cp:coreProperties>
</file>